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bidi w:val="0"/>
        <w:ind w:left="0" w:leftChars="0" w:firstLine="0" w:firstLineChars="0"/>
        <w:jc w:val="both"/>
        <w:outlineLvl w:val="0"/>
        <w:rPr>
          <w:rFonts w:hint="eastAsia" w:ascii="黑体" w:hAnsi="黑体" w:eastAsia="黑体" w:cs="黑体"/>
          <w:kern w:val="44"/>
          <w:sz w:val="32"/>
          <w:szCs w:val="32"/>
          <w:lang w:val="en-US" w:eastAsia="zh-CN" w:bidi="ar-SA"/>
        </w:rPr>
      </w:pPr>
      <w:r>
        <w:rPr>
          <w:rFonts w:hint="eastAsia" w:ascii="黑体" w:hAnsi="黑体" w:eastAsia="黑体" w:cs="Times New Roman"/>
          <w:kern w:val="44"/>
          <w:sz w:val="32"/>
          <w:szCs w:val="32"/>
          <w:lang w:val="en-US" w:eastAsia="zh-CN" w:bidi="ar-SA"/>
        </w:rPr>
        <w:t>附件4</w:t>
      </w:r>
    </w:p>
    <w:p>
      <w:pPr>
        <w:pStyle w:val="9"/>
        <w:rPr>
          <w:rFonts w:hint="eastAsia"/>
        </w:rPr>
      </w:pPr>
    </w:p>
    <w:p>
      <w:pPr>
        <w:spacing w:afterLines="50" w:line="580" w:lineRule="exact"/>
        <w:ind w:left="540" w:hanging="594" w:hangingChars="135"/>
        <w:jc w:val="center"/>
        <w:outlineLvl w:val="0"/>
        <w:rPr>
          <w:rFonts w:hint="eastAsia"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制造业中小企业数字化水平评测表</w:t>
      </w:r>
    </w:p>
    <w:p>
      <w:pPr>
        <w:spacing w:afterLines="50" w:line="580" w:lineRule="exact"/>
        <w:ind w:left="540" w:hanging="594" w:hangingChars="135"/>
        <w:jc w:val="center"/>
        <w:outlineLvl w:val="0"/>
        <w:rPr>
          <w:rFonts w:hint="eastAsia"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（2022年版）</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135"/>
        <w:gridCol w:w="1055"/>
        <w:gridCol w:w="4933"/>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35"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b/>
                <w:sz w:val="22"/>
                <w:szCs w:val="22"/>
              </w:rPr>
            </w:pPr>
            <w:r>
              <w:rPr>
                <w:rFonts w:ascii="仿宋_GB2312" w:cs="仿宋_GB2312"/>
                <w:b/>
                <w:sz w:val="22"/>
                <w:szCs w:val="22"/>
              </w:rPr>
              <w:t>一级指标及权重</w:t>
            </w:r>
          </w:p>
        </w:tc>
        <w:tc>
          <w:tcPr>
            <w:tcW w:w="1135"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b/>
                <w:sz w:val="22"/>
                <w:szCs w:val="22"/>
              </w:rPr>
            </w:pPr>
            <w:r>
              <w:rPr>
                <w:rFonts w:ascii="仿宋_GB2312" w:cs="仿宋_GB2312"/>
                <w:b/>
                <w:sz w:val="22"/>
                <w:szCs w:val="22"/>
              </w:rPr>
              <w:t>二级指标及权重</w:t>
            </w:r>
          </w:p>
        </w:tc>
        <w:tc>
          <w:tcPr>
            <w:tcW w:w="1055"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b/>
                <w:sz w:val="22"/>
                <w:szCs w:val="22"/>
              </w:rPr>
            </w:pPr>
            <w:r>
              <w:rPr>
                <w:rFonts w:ascii="仿宋_GB2312" w:cs="仿宋_GB2312"/>
                <w:b/>
                <w:sz w:val="22"/>
                <w:szCs w:val="22"/>
              </w:rPr>
              <w:t>序号</w:t>
            </w:r>
          </w:p>
        </w:tc>
        <w:tc>
          <w:tcPr>
            <w:tcW w:w="4933"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b/>
                <w:sz w:val="22"/>
                <w:szCs w:val="22"/>
              </w:rPr>
            </w:pPr>
            <w:r>
              <w:rPr>
                <w:rFonts w:ascii="仿宋_GB2312" w:cs="仿宋_GB2312"/>
                <w:b/>
                <w:sz w:val="22"/>
                <w:szCs w:val="22"/>
              </w:rPr>
              <w:t>问卷</w:t>
            </w:r>
          </w:p>
        </w:tc>
        <w:tc>
          <w:tcPr>
            <w:tcW w:w="791"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b/>
                <w:sz w:val="22"/>
                <w:szCs w:val="22"/>
              </w:rPr>
            </w:pPr>
            <w:r>
              <w:rPr>
                <w:rFonts w:ascii="仿宋_GB2312" w:cs="仿宋_GB2312"/>
                <w:b/>
                <w:sz w:val="22"/>
                <w:szCs w:val="22"/>
              </w:rPr>
              <w:t>题型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hint="eastAsia" w:ascii="仿宋_GB2312" w:cs="仿宋_GB2312"/>
                <w:sz w:val="24"/>
                <w:szCs w:val="20"/>
              </w:rPr>
              <w:t>一、</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数字化基础</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（25%）</w:t>
            </w:r>
          </w:p>
        </w:tc>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设备</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系统</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w:t>
            </w:r>
            <w:r>
              <w:rPr>
                <w:rFonts w:ascii="仿宋_GB2312" w:cs="仿宋_GB2312"/>
                <w:kern w:val="0"/>
                <w:sz w:val="24"/>
                <w:szCs w:val="20"/>
              </w:rPr>
              <w:t>40%）</w:t>
            </w:r>
          </w:p>
        </w:tc>
        <w:tc>
          <w:tcPr>
            <w:tcW w:w="1055" w:type="dxa"/>
            <w:tcBorders>
              <w:top w:val="nil"/>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1</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（20%）</w:t>
            </w:r>
          </w:p>
        </w:tc>
        <w:tc>
          <w:tcPr>
            <w:tcW w:w="4933"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企业的数字化设备覆盖范围</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单个业务环节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关键业务环节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绝大部分业务环节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全覆盖</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以上均无</w:t>
            </w:r>
          </w:p>
        </w:tc>
        <w:tc>
          <w:tcPr>
            <w:tcW w:w="791"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Borders>
              <w:top w:val="single" w:color="auto" w:sz="4" w:space="0"/>
              <w:left w:val="single" w:color="auto" w:sz="4" w:space="0"/>
              <w:bottom w:val="single" w:color="auto" w:sz="4" w:space="0"/>
              <w:right w:val="single" w:color="auto" w:sz="4" w:space="0"/>
            </w:tcBorders>
            <w:noWrap/>
            <w:vAlign w:val="center"/>
          </w:tcPr>
          <w:p>
            <w:pPr>
              <w:adjustRightInd/>
              <w:snapToGrid/>
              <w:spacing w:line="240" w:lineRule="auto"/>
              <w:ind w:firstLine="0" w:firstLineChars="0"/>
              <w:rPr>
                <w:rFonts w:eastAsia="宋体"/>
                <w:sz w:val="21"/>
                <w:szCs w:val="20"/>
              </w:rPr>
            </w:pPr>
          </w:p>
        </w:tc>
        <w:tc>
          <w:tcPr>
            <w:tcW w:w="1135" w:type="dxa"/>
            <w:vMerge w:val="continue"/>
            <w:tcBorders>
              <w:top w:val="single" w:color="auto" w:sz="4" w:space="0"/>
              <w:left w:val="single" w:color="auto" w:sz="4" w:space="0"/>
              <w:bottom w:val="single" w:color="auto" w:sz="4" w:space="0"/>
              <w:right w:val="single" w:color="auto" w:sz="4" w:space="0"/>
            </w:tcBorders>
            <w:noWrap/>
            <w:vAlign w:val="center"/>
          </w:tcPr>
          <w:p>
            <w:pPr>
              <w:adjustRightInd/>
              <w:snapToGrid/>
              <w:spacing w:line="240" w:lineRule="auto"/>
              <w:ind w:firstLine="0" w:firstLineChars="0"/>
              <w:rPr>
                <w:rFonts w:eastAsia="宋体"/>
                <w:sz w:val="21"/>
                <w:szCs w:val="20"/>
              </w:rPr>
            </w:pPr>
          </w:p>
        </w:tc>
        <w:tc>
          <w:tcPr>
            <w:tcW w:w="1055" w:type="dxa"/>
            <w:tcBorders>
              <w:top w:val="nil"/>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2</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（30%）</w:t>
            </w:r>
          </w:p>
        </w:tc>
        <w:tc>
          <w:tcPr>
            <w:tcW w:w="4933"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企业的数字化设备联网率</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[0-10%]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(10%,20%]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(20%,30%]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(30%,40%]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40%以上</w:t>
            </w:r>
          </w:p>
        </w:tc>
        <w:tc>
          <w:tcPr>
            <w:tcW w:w="791"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Borders>
              <w:top w:val="single" w:color="auto" w:sz="4" w:space="0"/>
              <w:left w:val="single" w:color="auto" w:sz="4" w:space="0"/>
              <w:bottom w:val="single" w:color="auto" w:sz="4" w:space="0"/>
              <w:right w:val="single" w:color="auto" w:sz="4" w:space="0"/>
            </w:tcBorders>
            <w:noWrap/>
            <w:vAlign w:val="center"/>
          </w:tcPr>
          <w:p>
            <w:pPr>
              <w:adjustRightInd/>
              <w:snapToGrid/>
              <w:spacing w:line="240" w:lineRule="auto"/>
              <w:ind w:firstLine="0" w:firstLineChars="0"/>
              <w:rPr>
                <w:rFonts w:eastAsia="宋体"/>
                <w:sz w:val="21"/>
                <w:szCs w:val="20"/>
              </w:rPr>
            </w:pPr>
          </w:p>
        </w:tc>
        <w:tc>
          <w:tcPr>
            <w:tcW w:w="1135" w:type="dxa"/>
            <w:vMerge w:val="continue"/>
            <w:tcBorders>
              <w:top w:val="single" w:color="auto" w:sz="4" w:space="0"/>
              <w:left w:val="single" w:color="auto" w:sz="4" w:space="0"/>
              <w:bottom w:val="single" w:color="auto" w:sz="4" w:space="0"/>
              <w:right w:val="single" w:color="auto" w:sz="4" w:space="0"/>
            </w:tcBorders>
            <w:noWrap/>
            <w:vAlign w:val="center"/>
          </w:tcPr>
          <w:p>
            <w:pPr>
              <w:adjustRightInd/>
              <w:snapToGrid/>
              <w:spacing w:line="240" w:lineRule="auto"/>
              <w:ind w:firstLine="0" w:firstLineChars="0"/>
              <w:rPr>
                <w:rFonts w:eastAsia="宋体"/>
                <w:sz w:val="21"/>
                <w:szCs w:val="20"/>
              </w:rPr>
            </w:pPr>
          </w:p>
        </w:tc>
        <w:tc>
          <w:tcPr>
            <w:tcW w:w="1055" w:type="dxa"/>
            <w:tcBorders>
              <w:top w:val="nil"/>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3</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（30%）</w:t>
            </w:r>
          </w:p>
        </w:tc>
        <w:tc>
          <w:tcPr>
            <w:tcW w:w="4933"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企业的关键工序数控化率</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[0-30%]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(30%,45%]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(45%,60%]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60%以上</w:t>
            </w:r>
          </w:p>
        </w:tc>
        <w:tc>
          <w:tcPr>
            <w:tcW w:w="791"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Borders>
              <w:top w:val="single" w:color="auto" w:sz="4" w:space="0"/>
              <w:left w:val="single" w:color="auto" w:sz="4" w:space="0"/>
              <w:bottom w:val="single" w:color="auto" w:sz="4" w:space="0"/>
              <w:right w:val="single" w:color="auto" w:sz="4" w:space="0"/>
            </w:tcBorders>
            <w:noWrap/>
            <w:vAlign w:val="center"/>
          </w:tcPr>
          <w:p>
            <w:pPr>
              <w:adjustRightInd/>
              <w:snapToGrid/>
              <w:spacing w:line="240" w:lineRule="auto"/>
              <w:ind w:firstLine="0" w:firstLineChars="0"/>
              <w:rPr>
                <w:rFonts w:eastAsia="宋体"/>
                <w:sz w:val="21"/>
                <w:szCs w:val="20"/>
              </w:rPr>
            </w:pPr>
          </w:p>
        </w:tc>
        <w:tc>
          <w:tcPr>
            <w:tcW w:w="1135" w:type="dxa"/>
            <w:vMerge w:val="continue"/>
            <w:tcBorders>
              <w:top w:val="single" w:color="auto" w:sz="4" w:space="0"/>
              <w:left w:val="single" w:color="auto" w:sz="4" w:space="0"/>
              <w:bottom w:val="single" w:color="auto" w:sz="4" w:space="0"/>
              <w:right w:val="single" w:color="auto" w:sz="4" w:space="0"/>
            </w:tcBorders>
            <w:noWrap/>
            <w:vAlign w:val="center"/>
          </w:tcPr>
          <w:p>
            <w:pPr>
              <w:adjustRightInd/>
              <w:snapToGrid/>
              <w:spacing w:line="240" w:lineRule="auto"/>
              <w:ind w:firstLine="0" w:firstLineChars="0"/>
              <w:rPr>
                <w:rFonts w:eastAsia="宋体"/>
                <w:sz w:val="21"/>
                <w:szCs w:val="20"/>
              </w:rPr>
            </w:pPr>
          </w:p>
        </w:tc>
        <w:tc>
          <w:tcPr>
            <w:tcW w:w="1055" w:type="dxa"/>
            <w:tcBorders>
              <w:top w:val="nil"/>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4</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（20%）</w:t>
            </w:r>
          </w:p>
        </w:tc>
        <w:tc>
          <w:tcPr>
            <w:tcW w:w="4933"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 xml:space="preserve">企业通过部署工业互联网公有云/私有云/混合云平台等形式，实现业务的数字化管理情况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单个业务环节</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关键业务环节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绝大部分业务环节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全覆盖</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以上均无</w:t>
            </w:r>
          </w:p>
        </w:tc>
        <w:tc>
          <w:tcPr>
            <w:tcW w:w="791"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Borders>
              <w:top w:val="single" w:color="auto" w:sz="4" w:space="0"/>
              <w:left w:val="single" w:color="auto" w:sz="4" w:space="0"/>
              <w:bottom w:val="single" w:color="auto" w:sz="4" w:space="0"/>
              <w:right w:val="single" w:color="auto" w:sz="4" w:space="0"/>
            </w:tcBorders>
            <w:noWrap/>
            <w:vAlign w:val="center"/>
          </w:tcPr>
          <w:p>
            <w:pPr>
              <w:adjustRightInd/>
              <w:snapToGrid/>
              <w:spacing w:line="240" w:lineRule="auto"/>
              <w:ind w:firstLine="0" w:firstLineChars="0"/>
              <w:rPr>
                <w:rFonts w:eastAsia="宋体"/>
                <w:sz w:val="21"/>
                <w:szCs w:val="20"/>
              </w:rPr>
            </w:pPr>
          </w:p>
        </w:tc>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数据</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资源</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w:t>
            </w:r>
            <w:r>
              <w:rPr>
                <w:rFonts w:ascii="仿宋_GB2312" w:cs="仿宋_GB2312"/>
                <w:kern w:val="0"/>
                <w:sz w:val="24"/>
                <w:szCs w:val="20"/>
              </w:rPr>
              <w:t>30%）</w:t>
            </w:r>
          </w:p>
        </w:tc>
        <w:tc>
          <w:tcPr>
            <w:tcW w:w="1055" w:type="dxa"/>
            <w:tcBorders>
              <w:top w:val="nil"/>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5</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（60%）</w:t>
            </w:r>
          </w:p>
        </w:tc>
        <w:tc>
          <w:tcPr>
            <w:tcW w:w="4933"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企业实现数据自动/半自动获取并展示的业务环节覆盖范围</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研发设计 </w:t>
            </w:r>
            <w:r>
              <w:rPr>
                <w:rFonts w:hint="eastAsia" w:ascii="仿宋_GB2312" w:cs="仿宋_GB2312"/>
                <w:sz w:val="24"/>
                <w:szCs w:val="20"/>
              </w:rPr>
              <w:t>□</w:t>
            </w:r>
            <w:r>
              <w:rPr>
                <w:rFonts w:ascii="仿宋_GB2312" w:cs="仿宋_GB2312"/>
                <w:sz w:val="24"/>
                <w:szCs w:val="20"/>
              </w:rPr>
              <w:t xml:space="preserve">生产管控 </w:t>
            </w:r>
            <w:r>
              <w:rPr>
                <w:rFonts w:hint="eastAsia" w:ascii="仿宋_GB2312" w:cs="仿宋_GB2312"/>
                <w:sz w:val="24"/>
                <w:szCs w:val="20"/>
              </w:rPr>
              <w:t>□</w:t>
            </w:r>
            <w:r>
              <w:rPr>
                <w:rFonts w:ascii="仿宋_GB2312" w:cs="仿宋_GB2312"/>
                <w:sz w:val="24"/>
                <w:szCs w:val="20"/>
              </w:rPr>
              <w:t xml:space="preserve">质量控制 </w:t>
            </w:r>
            <w:r>
              <w:rPr>
                <w:rFonts w:hint="eastAsia" w:ascii="仿宋_GB2312" w:cs="仿宋_GB2312"/>
                <w:sz w:val="24"/>
                <w:szCs w:val="20"/>
              </w:rPr>
              <w:t>□</w:t>
            </w:r>
            <w:r>
              <w:rPr>
                <w:rFonts w:ascii="仿宋_GB2312" w:cs="仿宋_GB2312"/>
                <w:sz w:val="24"/>
                <w:szCs w:val="20"/>
              </w:rPr>
              <w:t xml:space="preserve">仓储配送（厂内） </w:t>
            </w:r>
            <w:r>
              <w:rPr>
                <w:rFonts w:hint="eastAsia" w:ascii="仿宋_GB2312" w:cs="仿宋_GB2312"/>
                <w:sz w:val="24"/>
                <w:szCs w:val="20"/>
              </w:rPr>
              <w:t>□</w:t>
            </w:r>
            <w:r>
              <w:rPr>
                <w:rFonts w:ascii="仿宋_GB2312" w:cs="仿宋_GB2312"/>
                <w:sz w:val="24"/>
                <w:szCs w:val="20"/>
              </w:rPr>
              <w:t xml:space="preserve">设备管理 </w:t>
            </w:r>
            <w:r>
              <w:rPr>
                <w:rFonts w:hint="eastAsia" w:ascii="仿宋_GB2312" w:cs="仿宋_GB2312"/>
                <w:sz w:val="24"/>
                <w:szCs w:val="20"/>
              </w:rPr>
              <w:t>□</w:t>
            </w:r>
            <w:r>
              <w:rPr>
                <w:rFonts w:ascii="仿宋_GB2312" w:cs="仿宋_GB2312"/>
                <w:sz w:val="24"/>
                <w:szCs w:val="20"/>
              </w:rPr>
              <w:t xml:space="preserve">采购 </w:t>
            </w:r>
            <w:r>
              <w:rPr>
                <w:rFonts w:hint="eastAsia" w:ascii="仿宋_GB2312" w:cs="仿宋_GB2312"/>
                <w:sz w:val="24"/>
                <w:szCs w:val="20"/>
              </w:rPr>
              <w:t>□</w:t>
            </w:r>
            <w:r>
              <w:rPr>
                <w:rFonts w:ascii="仿宋_GB2312" w:cs="仿宋_GB2312"/>
                <w:sz w:val="24"/>
                <w:szCs w:val="20"/>
              </w:rPr>
              <w:t xml:space="preserve">销售 </w:t>
            </w:r>
            <w:r>
              <w:rPr>
                <w:rFonts w:hint="eastAsia" w:ascii="仿宋_GB2312" w:cs="仿宋_GB2312"/>
                <w:sz w:val="24"/>
                <w:szCs w:val="20"/>
              </w:rPr>
              <w:t>□</w:t>
            </w:r>
            <w:r>
              <w:rPr>
                <w:rFonts w:ascii="仿宋_GB2312" w:cs="仿宋_GB2312"/>
                <w:sz w:val="24"/>
                <w:szCs w:val="20"/>
              </w:rPr>
              <w:t xml:space="preserve">物流（厂外） </w:t>
            </w:r>
            <w:r>
              <w:rPr>
                <w:rFonts w:hint="eastAsia" w:ascii="仿宋_GB2312" w:cs="仿宋_GB2312"/>
                <w:sz w:val="24"/>
                <w:szCs w:val="20"/>
              </w:rPr>
              <w:t>□</w:t>
            </w:r>
            <w:r>
              <w:rPr>
                <w:rFonts w:ascii="仿宋_GB2312" w:cs="仿宋_GB2312"/>
                <w:sz w:val="24"/>
                <w:szCs w:val="20"/>
              </w:rPr>
              <w:t xml:space="preserve">财务 </w:t>
            </w:r>
            <w:r>
              <w:rPr>
                <w:rFonts w:hint="eastAsia" w:ascii="仿宋_GB2312" w:cs="仿宋_GB2312"/>
                <w:sz w:val="24"/>
                <w:szCs w:val="20"/>
              </w:rPr>
              <w:t>□</w:t>
            </w:r>
            <w:r>
              <w:rPr>
                <w:rFonts w:ascii="仿宋_GB2312" w:cs="仿宋_GB2312"/>
                <w:sz w:val="24"/>
                <w:szCs w:val="20"/>
              </w:rPr>
              <w:t xml:space="preserve">人力 </w:t>
            </w:r>
            <w:r>
              <w:rPr>
                <w:rFonts w:hint="eastAsia" w:ascii="仿宋_GB2312" w:cs="仿宋_GB2312"/>
                <w:sz w:val="24"/>
                <w:szCs w:val="20"/>
              </w:rPr>
              <w:t>□</w:t>
            </w:r>
            <w:r>
              <w:rPr>
                <w:rFonts w:ascii="仿宋_GB2312" w:cs="仿宋_GB2312"/>
                <w:sz w:val="24"/>
                <w:szCs w:val="20"/>
              </w:rPr>
              <w:t>以上均无</w:t>
            </w:r>
          </w:p>
        </w:tc>
        <w:tc>
          <w:tcPr>
            <w:tcW w:w="791"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Borders>
              <w:top w:val="single" w:color="auto" w:sz="4" w:space="0"/>
              <w:left w:val="single" w:color="auto" w:sz="4" w:space="0"/>
              <w:bottom w:val="single" w:color="auto" w:sz="4" w:space="0"/>
              <w:right w:val="single" w:color="auto" w:sz="4" w:space="0"/>
            </w:tcBorders>
            <w:noWrap/>
            <w:vAlign w:val="center"/>
          </w:tcPr>
          <w:p>
            <w:pPr>
              <w:adjustRightInd/>
              <w:snapToGrid/>
              <w:spacing w:line="240" w:lineRule="auto"/>
              <w:ind w:firstLine="0" w:firstLineChars="0"/>
              <w:rPr>
                <w:rFonts w:eastAsia="宋体"/>
                <w:sz w:val="21"/>
                <w:szCs w:val="20"/>
              </w:rPr>
            </w:pPr>
          </w:p>
        </w:tc>
        <w:tc>
          <w:tcPr>
            <w:tcW w:w="1135" w:type="dxa"/>
            <w:vMerge w:val="continue"/>
            <w:tcBorders>
              <w:top w:val="single" w:color="auto" w:sz="4" w:space="0"/>
              <w:left w:val="single" w:color="auto" w:sz="4" w:space="0"/>
              <w:bottom w:val="single" w:color="auto" w:sz="4" w:space="0"/>
              <w:right w:val="single" w:color="auto" w:sz="4" w:space="0"/>
            </w:tcBorders>
            <w:noWrap/>
            <w:vAlign w:val="center"/>
          </w:tcPr>
          <w:p>
            <w:pPr>
              <w:adjustRightInd/>
              <w:snapToGrid/>
              <w:spacing w:line="240" w:lineRule="auto"/>
              <w:ind w:firstLine="0" w:firstLineChars="0"/>
              <w:rPr>
                <w:rFonts w:eastAsia="宋体"/>
                <w:sz w:val="21"/>
                <w:szCs w:val="20"/>
              </w:rPr>
            </w:pPr>
          </w:p>
        </w:tc>
        <w:tc>
          <w:tcPr>
            <w:tcW w:w="1055" w:type="dxa"/>
            <w:tcBorders>
              <w:top w:val="nil"/>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6</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（40%）</w:t>
            </w:r>
          </w:p>
        </w:tc>
        <w:tc>
          <w:tcPr>
            <w:tcW w:w="4933"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企业实现各类数据汇聚及应用的情况</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建立了统一的数据编码、数据交换格式和规则等</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实现了数据及分析结果的跨部门共享</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构建了数据算法模型，支撑业务人员进行数据分析</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构建了可视化数据分析工具</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以上均无</w:t>
            </w:r>
          </w:p>
        </w:tc>
        <w:tc>
          <w:tcPr>
            <w:tcW w:w="791"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Borders>
              <w:top w:val="single" w:color="auto" w:sz="4" w:space="0"/>
              <w:left w:val="single" w:color="auto" w:sz="4" w:space="0"/>
              <w:bottom w:val="single" w:color="auto" w:sz="4" w:space="0"/>
              <w:right w:val="single" w:color="auto" w:sz="4" w:space="0"/>
            </w:tcBorders>
            <w:noWrap/>
            <w:vAlign w:val="center"/>
          </w:tcPr>
          <w:p>
            <w:pPr>
              <w:adjustRightInd/>
              <w:snapToGrid/>
              <w:spacing w:line="240" w:lineRule="auto"/>
              <w:ind w:firstLine="0" w:firstLineChars="0"/>
              <w:rPr>
                <w:rFonts w:eastAsia="宋体"/>
                <w:sz w:val="21"/>
                <w:szCs w:val="20"/>
              </w:rPr>
            </w:pPr>
          </w:p>
        </w:tc>
        <w:tc>
          <w:tcPr>
            <w:tcW w:w="1135"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网络</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安全</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w:t>
            </w:r>
            <w:r>
              <w:rPr>
                <w:rFonts w:ascii="仿宋_GB2312" w:cs="仿宋_GB2312"/>
                <w:kern w:val="0"/>
                <w:sz w:val="24"/>
                <w:szCs w:val="20"/>
              </w:rPr>
              <w:t>30%）</w:t>
            </w:r>
          </w:p>
        </w:tc>
        <w:tc>
          <w:tcPr>
            <w:tcW w:w="1055" w:type="dxa"/>
            <w:tcBorders>
              <w:top w:val="nil"/>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7</w:t>
            </w:r>
          </w:p>
        </w:tc>
        <w:tc>
          <w:tcPr>
            <w:tcW w:w="4933"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企业在保障网络安全方面采取的举措情况</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使用了工业级网络安全产品及服务，尚未建立网络安全保障制度</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建立了网络安全保障制度，尚未开展网络安全等级自评估</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开展了网络安全等级自评估，尚未通过第三方机构的验收认定</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网络安全等级评估通过了第三方机构的验收认定</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以上均无</w:t>
            </w:r>
          </w:p>
        </w:tc>
        <w:tc>
          <w:tcPr>
            <w:tcW w:w="791"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hint="eastAsia" w:ascii="仿宋_GB2312" w:cs="仿宋_GB2312"/>
                <w:sz w:val="24"/>
                <w:szCs w:val="20"/>
              </w:rPr>
              <w:t>二、</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数字化经营</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w:t>
            </w:r>
            <w:r>
              <w:rPr>
                <w:rFonts w:ascii="仿宋_GB2312" w:cs="仿宋_GB2312"/>
                <w:kern w:val="0"/>
                <w:sz w:val="24"/>
                <w:szCs w:val="20"/>
              </w:rPr>
              <w:t>45%）</w:t>
            </w:r>
          </w:p>
        </w:tc>
        <w:tc>
          <w:tcPr>
            <w:tcW w:w="1135"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研发</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设计</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w:t>
            </w:r>
            <w:r>
              <w:rPr>
                <w:rFonts w:ascii="仿宋_GB2312" w:cs="仿宋_GB2312"/>
                <w:kern w:val="0"/>
                <w:sz w:val="24"/>
                <w:szCs w:val="20"/>
              </w:rPr>
              <w:t>14%）</w:t>
            </w:r>
          </w:p>
        </w:tc>
        <w:tc>
          <w:tcPr>
            <w:tcW w:w="1055"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8</w:t>
            </w:r>
          </w:p>
        </w:tc>
        <w:tc>
          <w:tcPr>
            <w:tcW w:w="4933"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研发设计环节，企业开展数字化研发设计的情况</w:t>
            </w:r>
          </w:p>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（50%以上关键业务研发设计项目实现下列数字化场景即可勾选该项）</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应用二维、三维计算机设计软件辅助开展设计工作</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使用PDM或PLM等软件实现文档、数据、流程等的共享和统一管理</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建设和应用产品设计标准库、组件库或知识库</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将产品设计信息集成于产品的数字化模型中，实现产品设计数据的唯一性</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实现产品设计和工艺设计间的信息交互和并行协同</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以上均无</w:t>
            </w:r>
          </w:p>
        </w:tc>
        <w:tc>
          <w:tcPr>
            <w:tcW w:w="791"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Borders>
              <w:top w:val="single" w:color="auto" w:sz="4" w:space="0"/>
              <w:left w:val="single" w:color="auto" w:sz="4" w:space="0"/>
              <w:bottom w:val="single" w:color="auto" w:sz="4" w:space="0"/>
              <w:right w:val="single" w:color="auto" w:sz="4" w:space="0"/>
            </w:tcBorders>
            <w:noWrap/>
            <w:vAlign w:val="center"/>
          </w:tcPr>
          <w:p>
            <w:pPr>
              <w:adjustRightInd/>
              <w:snapToGrid/>
              <w:spacing w:line="240" w:lineRule="auto"/>
              <w:ind w:firstLine="0" w:firstLineChars="0"/>
              <w:rPr>
                <w:rFonts w:eastAsia="宋体"/>
                <w:sz w:val="21"/>
                <w:szCs w:val="20"/>
              </w:rPr>
            </w:pPr>
          </w:p>
        </w:tc>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生产</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管控</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w:t>
            </w:r>
            <w:r>
              <w:rPr>
                <w:rFonts w:ascii="仿宋_GB2312" w:cs="仿宋_GB2312"/>
                <w:kern w:val="0"/>
                <w:sz w:val="24"/>
                <w:szCs w:val="20"/>
              </w:rPr>
              <w:t>42%）</w:t>
            </w:r>
          </w:p>
        </w:tc>
        <w:tc>
          <w:tcPr>
            <w:tcW w:w="1055" w:type="dxa"/>
            <w:tcBorders>
              <w:top w:val="nil"/>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9</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（20%）</w:t>
            </w:r>
          </w:p>
        </w:tc>
        <w:tc>
          <w:tcPr>
            <w:tcW w:w="4933"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生产计划环节，企业实现生产计划排产排程的情况</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通过信息系统实现具有约束条件的主生产计划生产和物料需求计算</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通过信息系统开展车间计划排产</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部分车间生产计划实现自动排产</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全部车间生产计划实现自动排产</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以上均无</w:t>
            </w:r>
          </w:p>
        </w:tc>
        <w:tc>
          <w:tcPr>
            <w:tcW w:w="791"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Borders>
              <w:top w:val="single" w:color="auto" w:sz="4" w:space="0"/>
              <w:left w:val="single" w:color="auto" w:sz="4" w:space="0"/>
              <w:bottom w:val="single" w:color="auto" w:sz="4" w:space="0"/>
              <w:right w:val="single" w:color="auto" w:sz="4" w:space="0"/>
            </w:tcBorders>
            <w:noWrap/>
            <w:vAlign w:val="center"/>
          </w:tcPr>
          <w:p>
            <w:pPr>
              <w:adjustRightInd/>
              <w:snapToGrid/>
              <w:spacing w:line="240" w:lineRule="auto"/>
              <w:ind w:firstLine="0" w:firstLineChars="0"/>
              <w:rPr>
                <w:rFonts w:eastAsia="宋体"/>
                <w:sz w:val="21"/>
                <w:szCs w:val="20"/>
              </w:rPr>
            </w:pPr>
          </w:p>
        </w:tc>
        <w:tc>
          <w:tcPr>
            <w:tcW w:w="1135" w:type="dxa"/>
            <w:vMerge w:val="continue"/>
            <w:tcBorders>
              <w:top w:val="single" w:color="auto" w:sz="4" w:space="0"/>
              <w:left w:val="single" w:color="auto" w:sz="4" w:space="0"/>
              <w:bottom w:val="single" w:color="auto" w:sz="4" w:space="0"/>
              <w:right w:val="single" w:color="auto" w:sz="4" w:space="0"/>
            </w:tcBorders>
            <w:noWrap/>
            <w:vAlign w:val="center"/>
          </w:tcPr>
          <w:p>
            <w:pPr>
              <w:adjustRightInd/>
              <w:snapToGrid/>
              <w:spacing w:line="240" w:lineRule="auto"/>
              <w:ind w:firstLine="0" w:firstLineChars="0"/>
              <w:rPr>
                <w:rFonts w:eastAsia="宋体"/>
                <w:sz w:val="21"/>
                <w:szCs w:val="20"/>
              </w:rPr>
            </w:pPr>
          </w:p>
        </w:tc>
        <w:tc>
          <w:tcPr>
            <w:tcW w:w="1055" w:type="dxa"/>
            <w:tcBorders>
              <w:top w:val="nil"/>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10</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（10%）</w:t>
            </w:r>
          </w:p>
        </w:tc>
        <w:tc>
          <w:tcPr>
            <w:tcW w:w="4933"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生产监控环节，企业利用信息系统实现生产过程监控的情况</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设备：能够在一种或多种单个设备层面实现生产过程监控</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工序：能够在一道或多道工序层面实现生产过程监控。</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生产线：能够在一条或多条生产线层面实现生产过程监控</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车间：能够在一个或多个车间层面实现生产过程监控。</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以上均无</w:t>
            </w:r>
          </w:p>
        </w:tc>
        <w:tc>
          <w:tcPr>
            <w:tcW w:w="791"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Borders>
              <w:top w:val="single" w:color="auto" w:sz="4" w:space="0"/>
              <w:left w:val="single" w:color="auto" w:sz="4" w:space="0"/>
              <w:bottom w:val="single" w:color="auto" w:sz="4" w:space="0"/>
              <w:right w:val="single" w:color="auto" w:sz="4" w:space="0"/>
            </w:tcBorders>
            <w:noWrap/>
            <w:vAlign w:val="center"/>
          </w:tcPr>
          <w:p>
            <w:pPr>
              <w:adjustRightInd/>
              <w:snapToGrid/>
              <w:spacing w:line="240" w:lineRule="auto"/>
              <w:ind w:firstLine="0" w:firstLineChars="0"/>
              <w:rPr>
                <w:rFonts w:eastAsia="宋体"/>
                <w:sz w:val="21"/>
                <w:szCs w:val="20"/>
              </w:rPr>
            </w:pPr>
          </w:p>
        </w:tc>
        <w:tc>
          <w:tcPr>
            <w:tcW w:w="1135" w:type="dxa"/>
            <w:vMerge w:val="continue"/>
            <w:tcBorders>
              <w:top w:val="single" w:color="auto" w:sz="4" w:space="0"/>
              <w:left w:val="single" w:color="auto" w:sz="4" w:space="0"/>
              <w:bottom w:val="single" w:color="auto" w:sz="4" w:space="0"/>
              <w:right w:val="single" w:color="auto" w:sz="4" w:space="0"/>
            </w:tcBorders>
            <w:noWrap/>
            <w:vAlign w:val="center"/>
          </w:tcPr>
          <w:p>
            <w:pPr>
              <w:adjustRightInd/>
              <w:snapToGrid/>
              <w:spacing w:line="240" w:lineRule="auto"/>
              <w:ind w:firstLine="0" w:firstLineChars="0"/>
              <w:rPr>
                <w:rFonts w:eastAsia="宋体"/>
                <w:sz w:val="21"/>
                <w:szCs w:val="20"/>
              </w:rPr>
            </w:pPr>
          </w:p>
        </w:tc>
        <w:tc>
          <w:tcPr>
            <w:tcW w:w="1055" w:type="dxa"/>
            <w:tcBorders>
              <w:top w:val="nil"/>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11</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（30%）</w:t>
            </w:r>
          </w:p>
        </w:tc>
        <w:tc>
          <w:tcPr>
            <w:tcW w:w="4933"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生产作业环节，企业实现智能制造典型场景的覆盖范围</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自动巡检：应用智能巡检装备或设备管理系统，集成数字化技术，实现对设备的高效巡检或异常报警等（50%以上关键业务设备实现下列数字化场景即可勾选该项）</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生产过程可视化：依托各类生产、系统集成，实现生产成本、交期或订单执行进度的可视化（50%以上关键业务生产成本、交期或订单执行进度实现即可勾选）</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精益生产管理：应用数字化工具和方法，开展数据驱动的人、机、料等精确管控，减少生产浪费（50%以上关键业务人、机、料等实现即可勾选）</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人机协同作业：集成机器人、高端机床或人机交互设备等智能装备，应用AR/VR、机器视觉等技术，实现生产的高效组织和作业协同（50%以上关键产线实现即可勾选）</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基于数字孪生的制造：构建装备、产线、车间、工厂等一种或几种不同层级的数字孪生系统，实现物理世界和虚拟空间的实时映射，推动感知、分析、预测和控制能力的全面提升（某一或几种/个关键装备、产线、车间或工厂实现即可勾选）</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以上均无</w:t>
            </w:r>
          </w:p>
        </w:tc>
        <w:tc>
          <w:tcPr>
            <w:tcW w:w="791"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Borders>
              <w:top w:val="single" w:color="auto" w:sz="4" w:space="0"/>
              <w:left w:val="single" w:color="auto" w:sz="4" w:space="0"/>
              <w:bottom w:val="single" w:color="auto" w:sz="4" w:space="0"/>
              <w:right w:val="single" w:color="auto" w:sz="4" w:space="0"/>
            </w:tcBorders>
            <w:noWrap/>
            <w:vAlign w:val="center"/>
          </w:tcPr>
          <w:p>
            <w:pPr>
              <w:adjustRightInd/>
              <w:snapToGrid/>
              <w:spacing w:line="240" w:lineRule="auto"/>
              <w:ind w:firstLine="0" w:firstLineChars="0"/>
              <w:rPr>
                <w:rFonts w:eastAsia="宋体"/>
                <w:sz w:val="21"/>
                <w:szCs w:val="20"/>
              </w:rPr>
            </w:pPr>
          </w:p>
        </w:tc>
        <w:tc>
          <w:tcPr>
            <w:tcW w:w="1135" w:type="dxa"/>
            <w:vMerge w:val="continue"/>
            <w:tcBorders>
              <w:top w:val="single" w:color="auto" w:sz="4" w:space="0"/>
              <w:left w:val="single" w:color="auto" w:sz="4" w:space="0"/>
              <w:bottom w:val="single" w:color="auto" w:sz="4" w:space="0"/>
              <w:right w:val="single" w:color="auto" w:sz="4" w:space="0"/>
            </w:tcBorders>
            <w:noWrap/>
            <w:vAlign w:val="center"/>
          </w:tcPr>
          <w:p>
            <w:pPr>
              <w:adjustRightInd/>
              <w:snapToGrid/>
              <w:spacing w:line="240" w:lineRule="auto"/>
              <w:ind w:firstLine="0" w:firstLineChars="0"/>
              <w:rPr>
                <w:rFonts w:eastAsia="宋体"/>
                <w:sz w:val="21"/>
                <w:szCs w:val="20"/>
              </w:rPr>
            </w:pPr>
          </w:p>
        </w:tc>
        <w:tc>
          <w:tcPr>
            <w:tcW w:w="1055" w:type="dxa"/>
            <w:tcBorders>
              <w:top w:val="nil"/>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12</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（20%）</w:t>
            </w:r>
          </w:p>
        </w:tc>
        <w:tc>
          <w:tcPr>
            <w:tcW w:w="4933"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质量控制环节，企业运用数字化手段提高质量控制能力的重点场景覆盖范围</w:t>
            </w:r>
          </w:p>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（某一种或几种关键产品或物料实现即可勾选）</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数字化检测：应用数字化设备和技术，实现关键环节的在线检测、分析、结果判定</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质量精准追溯：应用数字化技术，采集产品原料、生产过程、客户使用的质量信息等信息，实现产品质量全过程精准追溯</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产品质量优化：应用数字化技术，实现产品质量影响因素识别、缺陷分析预测或质量优化提升</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质量控制协同：利用数字化手段实现质量控制与相关业务的协同，包括质量与规范同步、检测数据与设备信息同步、供应商质量信息同步、客户质量信息同步等</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以上均无</w:t>
            </w:r>
          </w:p>
        </w:tc>
        <w:tc>
          <w:tcPr>
            <w:tcW w:w="791"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Borders>
              <w:top w:val="single" w:color="auto" w:sz="4" w:space="0"/>
              <w:left w:val="single" w:color="auto" w:sz="4" w:space="0"/>
              <w:bottom w:val="single" w:color="auto" w:sz="4" w:space="0"/>
              <w:right w:val="single" w:color="auto" w:sz="4" w:space="0"/>
            </w:tcBorders>
            <w:noWrap/>
            <w:vAlign w:val="center"/>
          </w:tcPr>
          <w:p>
            <w:pPr>
              <w:adjustRightInd/>
              <w:snapToGrid/>
              <w:spacing w:line="240" w:lineRule="auto"/>
              <w:ind w:firstLine="0" w:firstLineChars="0"/>
              <w:rPr>
                <w:rFonts w:eastAsia="宋体"/>
                <w:sz w:val="21"/>
                <w:szCs w:val="20"/>
              </w:rPr>
            </w:pPr>
          </w:p>
        </w:tc>
        <w:tc>
          <w:tcPr>
            <w:tcW w:w="1135" w:type="dxa"/>
            <w:vMerge w:val="continue"/>
            <w:tcBorders>
              <w:top w:val="single" w:color="auto" w:sz="4" w:space="0"/>
              <w:left w:val="single" w:color="auto" w:sz="4" w:space="0"/>
              <w:bottom w:val="single" w:color="auto" w:sz="4" w:space="0"/>
              <w:right w:val="single" w:color="auto" w:sz="4" w:space="0"/>
            </w:tcBorders>
            <w:noWrap/>
            <w:vAlign w:val="center"/>
          </w:tcPr>
          <w:p>
            <w:pPr>
              <w:adjustRightInd/>
              <w:snapToGrid/>
              <w:spacing w:line="240" w:lineRule="auto"/>
              <w:ind w:firstLine="0" w:firstLineChars="0"/>
              <w:rPr>
                <w:rFonts w:eastAsia="宋体"/>
                <w:sz w:val="21"/>
                <w:szCs w:val="20"/>
              </w:rPr>
            </w:pPr>
          </w:p>
        </w:tc>
        <w:tc>
          <w:tcPr>
            <w:tcW w:w="1055" w:type="dxa"/>
            <w:tcBorders>
              <w:top w:val="nil"/>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13</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（20%）</w:t>
            </w:r>
          </w:p>
        </w:tc>
        <w:tc>
          <w:tcPr>
            <w:tcW w:w="4933"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仓储物流环节：企业实现仓储物流数字化场景的覆盖范围</w:t>
            </w:r>
          </w:p>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（注1：50%以上关键原料、半成品、成品等实现下列数字化场景即可勾选该项）</w:t>
            </w:r>
          </w:p>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（注2：通过第三方、第四方物流实现的仓储物流数字化，如覆盖下述场景也可勾选）</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物料条码管理：统一条码管理标识货物</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智能仓储：应用数字化技术，依据实际生产作业计划，实现物料自动入库（进厂）、盘库或出库（出厂）</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精准配送：应用数字化技术，实现动态调度、自动配送或路径优化</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物料实时跟踪：应用制造执行系统（MES）或仓储管理系统（WMS），采用数字化技术，实现原材料、在制品或产成品流转的全程跟踪</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物流监测与优化：依托运输管理系统（TMS），应用数字化技术，实现运输配送全程跟踪或异常预警，装载能力优化或配送路径优化</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以上均无</w:t>
            </w:r>
          </w:p>
        </w:tc>
        <w:tc>
          <w:tcPr>
            <w:tcW w:w="791"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Borders>
              <w:top w:val="single" w:color="auto" w:sz="4" w:space="0"/>
              <w:left w:val="single" w:color="auto" w:sz="4" w:space="0"/>
              <w:bottom w:val="single" w:color="auto" w:sz="4" w:space="0"/>
              <w:right w:val="single" w:color="auto" w:sz="4" w:space="0"/>
            </w:tcBorders>
            <w:noWrap/>
            <w:vAlign w:val="center"/>
          </w:tcPr>
          <w:p>
            <w:pPr>
              <w:adjustRightInd/>
              <w:snapToGrid/>
              <w:spacing w:line="240" w:lineRule="auto"/>
              <w:ind w:firstLine="0" w:firstLineChars="0"/>
              <w:rPr>
                <w:rFonts w:eastAsia="宋体"/>
                <w:sz w:val="21"/>
                <w:szCs w:val="20"/>
              </w:rPr>
            </w:pPr>
          </w:p>
        </w:tc>
        <w:tc>
          <w:tcPr>
            <w:tcW w:w="1135"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采购</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供应</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w:t>
            </w:r>
            <w:r>
              <w:rPr>
                <w:rFonts w:ascii="仿宋_GB2312" w:cs="仿宋_GB2312"/>
                <w:kern w:val="0"/>
                <w:sz w:val="24"/>
                <w:szCs w:val="20"/>
              </w:rPr>
              <w:t>10%）</w:t>
            </w:r>
          </w:p>
        </w:tc>
        <w:tc>
          <w:tcPr>
            <w:tcW w:w="1055" w:type="dxa"/>
            <w:tcBorders>
              <w:top w:val="nil"/>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14</w:t>
            </w:r>
          </w:p>
        </w:tc>
        <w:tc>
          <w:tcPr>
            <w:tcW w:w="4933"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采购供应环节：企业实现采购管理数字化场景的覆盖范围</w:t>
            </w:r>
          </w:p>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（50%以上关键业务采购活动实现下列数字化场景即可勾选该项）</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采购管理信息化：通过信息系统实现采购计划</w:t>
            </w:r>
            <w:r>
              <w:rPr>
                <w:rFonts w:hint="eastAsia" w:ascii="仿宋_GB2312" w:cs="仿宋_GB2312"/>
                <w:sz w:val="24"/>
                <w:szCs w:val="20"/>
              </w:rPr>
              <w:t>管理</w:t>
            </w:r>
            <w:r>
              <w:rPr>
                <w:rFonts w:ascii="仿宋_GB2312" w:cs="仿宋_GB2312"/>
                <w:sz w:val="24"/>
                <w:szCs w:val="20"/>
              </w:rPr>
              <w:t>、采购过程管理和供应商管理</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采购策略优化：建设供应链管理系统（SCM），集成数字化技术，实现供应商综合评价、采购需求精准决策或采购方案动态优化</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供应链可视化：搭建供应链管理系统（SCM），融合数字化技术，实现供应链可视化监控。</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供应链风险预警与弹性管控：建立供应链管理系统（SCM），集成数字化技术，开展供应链风险隐患识别、定位、预警或高效处置</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采购协同：利用数字化技术实现采购供应与相关业务的协同，包括业务配合同步、质量与规范同步、结算对账同步、库存与计划同步等</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以上均无</w:t>
            </w:r>
          </w:p>
        </w:tc>
        <w:tc>
          <w:tcPr>
            <w:tcW w:w="791"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Borders>
              <w:top w:val="single" w:color="auto" w:sz="4" w:space="0"/>
              <w:left w:val="single" w:color="auto" w:sz="4" w:space="0"/>
              <w:bottom w:val="single" w:color="auto" w:sz="4" w:space="0"/>
              <w:right w:val="single" w:color="auto" w:sz="4" w:space="0"/>
            </w:tcBorders>
            <w:noWrap/>
            <w:vAlign w:val="center"/>
          </w:tcPr>
          <w:p>
            <w:pPr>
              <w:adjustRightInd/>
              <w:snapToGrid/>
              <w:spacing w:line="240" w:lineRule="auto"/>
              <w:ind w:firstLine="0" w:firstLineChars="0"/>
              <w:rPr>
                <w:rFonts w:eastAsia="宋体"/>
                <w:sz w:val="21"/>
                <w:szCs w:val="20"/>
              </w:rPr>
            </w:pPr>
          </w:p>
        </w:tc>
        <w:tc>
          <w:tcPr>
            <w:tcW w:w="1135"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营销</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管理</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w:t>
            </w:r>
            <w:r>
              <w:rPr>
                <w:rFonts w:ascii="仿宋_GB2312" w:cs="仿宋_GB2312"/>
                <w:kern w:val="0"/>
                <w:sz w:val="24"/>
                <w:szCs w:val="20"/>
              </w:rPr>
              <w:t>10%）</w:t>
            </w:r>
          </w:p>
        </w:tc>
        <w:tc>
          <w:tcPr>
            <w:tcW w:w="1055" w:type="dxa"/>
            <w:tcBorders>
              <w:top w:val="nil"/>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15</w:t>
            </w:r>
          </w:p>
        </w:tc>
        <w:tc>
          <w:tcPr>
            <w:tcW w:w="4933"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left"/>
              <w:rPr>
                <w:rFonts w:ascii="仿宋_GB2312" w:cs="仿宋_GB2312"/>
                <w:sz w:val="24"/>
                <w:szCs w:val="20"/>
              </w:rPr>
            </w:pPr>
            <w:r>
              <w:rPr>
                <w:rFonts w:ascii="仿宋_GB2312" w:cs="仿宋_GB2312"/>
                <w:sz w:val="24"/>
                <w:szCs w:val="20"/>
              </w:rPr>
              <w:t>营销管理环节，企业实现营销管理数字化场景的覆盖范围</w:t>
            </w:r>
          </w:p>
          <w:p>
            <w:pPr>
              <w:adjustRightInd/>
              <w:spacing w:line="240" w:lineRule="atLeast"/>
              <w:ind w:firstLine="0" w:firstLineChars="0"/>
              <w:contextualSpacing/>
              <w:jc w:val="left"/>
              <w:rPr>
                <w:rFonts w:ascii="仿宋_GB2312" w:cs="仿宋_GB2312"/>
                <w:sz w:val="24"/>
                <w:szCs w:val="20"/>
              </w:rPr>
            </w:pPr>
            <w:r>
              <w:rPr>
                <w:rFonts w:ascii="仿宋_GB2312" w:cs="仿宋_GB2312"/>
                <w:sz w:val="24"/>
                <w:szCs w:val="20"/>
              </w:rPr>
              <w:t>（50%以上关键业务市场营销实现下列数字化场景即可勾选该项）</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销售计划动态优化：依托客户关系管理系统（CRM），应用数字化技术，实现挖掘分析客户信息、构建用户画像、构建需求预测模型或制定精准销售计划</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市场快速分析预测：应用数字化技术，实现对市场未来供求趋势、影响因素或其变化规律的精准分析、判断或预测</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销售驱动业务优化：应用数字化技术，根据客户需求变化，动态调整设计采购、生产或物流等方案</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以上均无</w:t>
            </w:r>
          </w:p>
        </w:tc>
        <w:tc>
          <w:tcPr>
            <w:tcW w:w="791"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Borders>
              <w:top w:val="single" w:color="auto" w:sz="4" w:space="0"/>
              <w:left w:val="single" w:color="auto" w:sz="4" w:space="0"/>
              <w:bottom w:val="single" w:color="auto" w:sz="4" w:space="0"/>
              <w:right w:val="single" w:color="auto" w:sz="4" w:space="0"/>
            </w:tcBorders>
            <w:noWrap/>
            <w:vAlign w:val="center"/>
          </w:tcPr>
          <w:p>
            <w:pPr>
              <w:adjustRightInd/>
              <w:snapToGrid/>
              <w:spacing w:line="240" w:lineRule="auto"/>
              <w:ind w:firstLine="0" w:firstLineChars="0"/>
              <w:rPr>
                <w:rFonts w:eastAsia="宋体"/>
                <w:sz w:val="21"/>
                <w:szCs w:val="20"/>
              </w:rPr>
            </w:pPr>
          </w:p>
        </w:tc>
        <w:tc>
          <w:tcPr>
            <w:tcW w:w="1135"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产品</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服务</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w:t>
            </w:r>
            <w:r>
              <w:rPr>
                <w:rFonts w:ascii="仿宋_GB2312" w:cs="仿宋_GB2312"/>
                <w:kern w:val="0"/>
                <w:sz w:val="24"/>
                <w:szCs w:val="20"/>
              </w:rPr>
              <w:t>14%）</w:t>
            </w:r>
          </w:p>
        </w:tc>
        <w:tc>
          <w:tcPr>
            <w:tcW w:w="1055" w:type="dxa"/>
            <w:tcBorders>
              <w:top w:val="nil"/>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16</w:t>
            </w:r>
          </w:p>
        </w:tc>
        <w:tc>
          <w:tcPr>
            <w:tcW w:w="4933"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产品服务环节，企业实现产品服务数字化场景的覆盖范围</w:t>
            </w:r>
          </w:p>
          <w:p>
            <w:pPr>
              <w:adjustRightInd/>
              <w:spacing w:line="240" w:lineRule="atLeast"/>
              <w:ind w:firstLine="0" w:firstLineChars="0"/>
              <w:contextualSpacing/>
              <w:rPr>
                <w:rFonts w:ascii="仿宋_GB2312" w:cs="仿宋_GB2312"/>
                <w:sz w:val="24"/>
                <w:szCs w:val="20"/>
              </w:rPr>
            </w:pPr>
          </w:p>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（1）</w:t>
            </w:r>
            <w:bookmarkStart w:id="0" w:name="_Hlk104714702"/>
            <w:r>
              <w:rPr>
                <w:rFonts w:ascii="仿宋_GB2312" w:cs="仿宋_GB2312"/>
                <w:sz w:val="24"/>
                <w:szCs w:val="20"/>
              </w:rPr>
              <w:t>利用信息系统实现售后服务数字化管理</w:t>
            </w:r>
            <w:bookmarkEnd w:id="0"/>
            <w:r>
              <w:rPr>
                <w:rFonts w:ascii="仿宋_GB2312" w:cs="仿宋_GB2312"/>
                <w:sz w:val="24"/>
                <w:szCs w:val="20"/>
              </w:rPr>
              <w:t>的情况（50%以上关键产品售后服务实现下列数字化场景即可勾选该项）</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退换货质量管理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客户体验调查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客户满意度调查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以上均无</w:t>
            </w:r>
          </w:p>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（2）利用数字化技术实现售后服务与相关业务的协同情况（50%以上关键产品售后服务实现下列数字化场景即可勾选该项）</w:t>
            </w:r>
          </w:p>
          <w:p>
            <w:pPr>
              <w:adjustRightInd/>
              <w:spacing w:line="240" w:lineRule="atLeast"/>
              <w:ind w:left="240" w:hanging="240" w:hangingChars="10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售后配件与库存协同 </w:t>
            </w:r>
          </w:p>
          <w:p>
            <w:pPr>
              <w:adjustRightInd/>
              <w:spacing w:line="240" w:lineRule="atLeast"/>
              <w:ind w:left="240" w:hanging="240" w:hangingChars="10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失效产品追溯与质量根因分析</w:t>
            </w:r>
          </w:p>
          <w:p>
            <w:pPr>
              <w:adjustRightInd/>
              <w:spacing w:line="240" w:lineRule="atLeast"/>
              <w:ind w:left="240" w:hanging="240" w:hangingChars="10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失效原因与设计优化协同 </w:t>
            </w:r>
          </w:p>
          <w:p>
            <w:pPr>
              <w:adjustRightInd/>
              <w:spacing w:line="240" w:lineRule="atLeast"/>
              <w:ind w:left="240" w:hanging="240" w:hangingChars="10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以上均无</w:t>
            </w:r>
          </w:p>
          <w:p>
            <w:pPr>
              <w:adjustRightInd/>
              <w:spacing w:line="240" w:lineRule="atLeast"/>
              <w:ind w:firstLine="0" w:firstLineChars="0"/>
              <w:contextualSpacing/>
              <w:rPr>
                <w:rFonts w:ascii="仿宋_GB2312" w:cs="仿宋_GB2312"/>
                <w:sz w:val="24"/>
                <w:szCs w:val="20"/>
              </w:rPr>
            </w:pPr>
          </w:p>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（3）新一代信息技术在新型智能产品中应用场景的覆盖范围（某一种或几种关键产品实现下列数字化场景即可勾选该项）</w:t>
            </w:r>
          </w:p>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□数据增值服务：分析产品的运行工况等数据，应用数字化技术，提供设备估值、融资租赁、资产处置等新业务</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主动客户服务：依托客户关系管理系统（CRM），集成数字化技术，实现精细化管理或主动式客户服务</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用户直连制造：通过用户和企业的深度交互，提供满足个性化需求的产品定制设计、柔性化生产或个性化服务</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大批量定制：通过生产柔性化、敏捷化或产品模块化，根据客户的个性化需求，以大批量生产方式提供定制化的产品和服务</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产品的远程运维：依托产品远程运维管理平台，实现基于运行数据的产品远程监控、预测性维护或产品设计的持续改进</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以上均无</w:t>
            </w:r>
          </w:p>
        </w:tc>
        <w:tc>
          <w:tcPr>
            <w:tcW w:w="791"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Borders>
              <w:top w:val="single" w:color="auto" w:sz="4" w:space="0"/>
              <w:left w:val="single" w:color="auto" w:sz="4" w:space="0"/>
              <w:bottom w:val="single" w:color="auto" w:sz="4" w:space="0"/>
              <w:right w:val="single" w:color="auto" w:sz="4" w:space="0"/>
            </w:tcBorders>
            <w:noWrap/>
            <w:vAlign w:val="center"/>
          </w:tcPr>
          <w:p>
            <w:pPr>
              <w:adjustRightInd/>
              <w:snapToGrid/>
              <w:spacing w:line="240" w:lineRule="auto"/>
              <w:ind w:firstLine="0" w:firstLineChars="0"/>
              <w:rPr>
                <w:rFonts w:eastAsia="宋体"/>
                <w:sz w:val="21"/>
                <w:szCs w:val="20"/>
              </w:rPr>
            </w:pPr>
          </w:p>
        </w:tc>
        <w:tc>
          <w:tcPr>
            <w:tcW w:w="1135"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业务</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协同</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w:t>
            </w:r>
            <w:r>
              <w:rPr>
                <w:rFonts w:ascii="仿宋_GB2312" w:cs="仿宋_GB2312"/>
                <w:kern w:val="0"/>
                <w:sz w:val="24"/>
                <w:szCs w:val="20"/>
              </w:rPr>
              <w:t>10%）</w:t>
            </w:r>
          </w:p>
        </w:tc>
        <w:tc>
          <w:tcPr>
            <w:tcW w:w="1055" w:type="dxa"/>
            <w:tcBorders>
              <w:top w:val="nil"/>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17</w:t>
            </w:r>
          </w:p>
        </w:tc>
        <w:tc>
          <w:tcPr>
            <w:tcW w:w="4933"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业务协同方面，企业使用数字化技术实现企业间业务协同数字化场景的覆盖范围</w:t>
            </w:r>
          </w:p>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（50%以上关键业务客户、上游供应企业或合作伙伴使用数字化技术实现下列数字化场景即可勾选该项）</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实现研发设计协同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实现生产制造协同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实现订货业务协同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实现物流仓储协同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实现财务结算协同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以上均无 </w:t>
            </w:r>
          </w:p>
        </w:tc>
        <w:tc>
          <w:tcPr>
            <w:tcW w:w="791"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hint="eastAsia" w:ascii="仿宋_GB2312" w:cs="仿宋_GB2312"/>
                <w:sz w:val="24"/>
                <w:szCs w:val="20"/>
              </w:rPr>
              <w:t>三、</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数字化管理</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（20%）</w:t>
            </w:r>
          </w:p>
        </w:tc>
        <w:tc>
          <w:tcPr>
            <w:tcW w:w="1135"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经营</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战略</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（15%）</w:t>
            </w:r>
          </w:p>
        </w:tc>
        <w:tc>
          <w:tcPr>
            <w:tcW w:w="1055" w:type="dxa"/>
            <w:tcBorders>
              <w:top w:val="nil"/>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18</w:t>
            </w:r>
          </w:p>
        </w:tc>
        <w:tc>
          <w:tcPr>
            <w:tcW w:w="4933"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企业数字化转型意识与执行水平情况</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已经对数字化转型有了明确的目标（至少半年为期）</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已制定了数字化转型规划及具体的实施计划</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已基于战略规划开展业务模式和管理决策方式的变革实践</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以上均无</w:t>
            </w:r>
          </w:p>
        </w:tc>
        <w:tc>
          <w:tcPr>
            <w:tcW w:w="791"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Borders>
              <w:top w:val="single" w:color="auto" w:sz="4" w:space="0"/>
              <w:left w:val="single" w:color="auto" w:sz="4" w:space="0"/>
              <w:bottom w:val="single" w:color="auto" w:sz="4" w:space="0"/>
              <w:right w:val="single" w:color="auto" w:sz="4" w:space="0"/>
            </w:tcBorders>
            <w:noWrap/>
            <w:vAlign w:val="center"/>
          </w:tcPr>
          <w:p>
            <w:pPr>
              <w:adjustRightInd/>
              <w:snapToGrid/>
              <w:spacing w:line="240" w:lineRule="auto"/>
              <w:ind w:firstLine="0" w:firstLineChars="0"/>
              <w:rPr>
                <w:rFonts w:eastAsia="宋体"/>
                <w:sz w:val="21"/>
                <w:szCs w:val="20"/>
              </w:rPr>
            </w:pPr>
          </w:p>
        </w:tc>
        <w:tc>
          <w:tcPr>
            <w:tcW w:w="1135"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管理</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机制</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（35%）</w:t>
            </w:r>
          </w:p>
        </w:tc>
        <w:tc>
          <w:tcPr>
            <w:tcW w:w="1055" w:type="dxa"/>
            <w:tcBorders>
              <w:top w:val="nil"/>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19</w:t>
            </w:r>
          </w:p>
        </w:tc>
        <w:tc>
          <w:tcPr>
            <w:tcW w:w="4933"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企业在设置数字化组织与管理制度等方面采取的措施</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设置专门的数字化人员岗位或部门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为数字化人才设立专门的绩效薪酬体系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对数字化收支单独建账核算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建立数字化信息系统管理相关制度规范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以上均无 </w:t>
            </w:r>
          </w:p>
        </w:tc>
        <w:tc>
          <w:tcPr>
            <w:tcW w:w="791"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Borders>
              <w:top w:val="single" w:color="auto" w:sz="4" w:space="0"/>
              <w:left w:val="single" w:color="auto" w:sz="4" w:space="0"/>
              <w:bottom w:val="single" w:color="auto" w:sz="4" w:space="0"/>
              <w:right w:val="single" w:color="auto" w:sz="4" w:space="0"/>
            </w:tcBorders>
            <w:noWrap/>
            <w:vAlign w:val="center"/>
          </w:tcPr>
          <w:p>
            <w:pPr>
              <w:adjustRightInd/>
              <w:snapToGrid/>
              <w:spacing w:line="240" w:lineRule="auto"/>
              <w:ind w:firstLine="0" w:firstLineChars="0"/>
              <w:rPr>
                <w:rFonts w:eastAsia="宋体"/>
                <w:sz w:val="21"/>
                <w:szCs w:val="20"/>
              </w:rPr>
            </w:pPr>
          </w:p>
        </w:tc>
        <w:tc>
          <w:tcPr>
            <w:tcW w:w="1135"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人才</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建设（25%）</w:t>
            </w:r>
          </w:p>
        </w:tc>
        <w:tc>
          <w:tcPr>
            <w:tcW w:w="1055" w:type="dxa"/>
            <w:tcBorders>
              <w:top w:val="nil"/>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20</w:t>
            </w:r>
          </w:p>
        </w:tc>
        <w:tc>
          <w:tcPr>
            <w:tcW w:w="4933"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企业在数字化方面培训覆盖的人员范围</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信息化部门员工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业务部门员工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企业主要决策人员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其他员工</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以上均无</w:t>
            </w:r>
          </w:p>
        </w:tc>
        <w:tc>
          <w:tcPr>
            <w:tcW w:w="791"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Borders>
              <w:top w:val="single" w:color="auto" w:sz="4" w:space="0"/>
              <w:left w:val="single" w:color="auto" w:sz="4" w:space="0"/>
              <w:bottom w:val="single" w:color="auto" w:sz="4" w:space="0"/>
              <w:right w:val="single" w:color="auto" w:sz="4" w:space="0"/>
            </w:tcBorders>
            <w:noWrap/>
            <w:vAlign w:val="center"/>
          </w:tcPr>
          <w:p>
            <w:pPr>
              <w:adjustRightInd/>
              <w:snapToGrid/>
              <w:spacing w:line="240" w:lineRule="auto"/>
              <w:ind w:firstLine="0" w:firstLineChars="0"/>
              <w:rPr>
                <w:rFonts w:eastAsia="宋体"/>
                <w:sz w:val="21"/>
                <w:szCs w:val="20"/>
              </w:rPr>
            </w:pPr>
          </w:p>
        </w:tc>
        <w:tc>
          <w:tcPr>
            <w:tcW w:w="1135"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资金</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投入（25%）</w:t>
            </w:r>
          </w:p>
        </w:tc>
        <w:tc>
          <w:tcPr>
            <w:tcW w:w="1055" w:type="dxa"/>
            <w:tcBorders>
              <w:top w:val="nil"/>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21</w:t>
            </w:r>
          </w:p>
        </w:tc>
        <w:tc>
          <w:tcPr>
            <w:tcW w:w="4933"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企业上年度数字化投入占营业收入的比重</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小于1%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[1%,2%)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[2%,3%)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[3%,5%]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大于5%</w:t>
            </w:r>
          </w:p>
        </w:tc>
        <w:tc>
          <w:tcPr>
            <w:tcW w:w="791"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restart"/>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hint="eastAsia" w:ascii="仿宋_GB2312" w:cs="仿宋_GB2312"/>
                <w:sz w:val="24"/>
                <w:szCs w:val="20"/>
              </w:rPr>
              <w:t>四、</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数字化成效</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（10%）</w:t>
            </w:r>
          </w:p>
        </w:tc>
        <w:tc>
          <w:tcPr>
            <w:tcW w:w="1135"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产品</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质量</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（30%）</w:t>
            </w:r>
          </w:p>
        </w:tc>
        <w:tc>
          <w:tcPr>
            <w:tcW w:w="1055" w:type="dxa"/>
            <w:tcBorders>
              <w:top w:val="nil"/>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22</w:t>
            </w:r>
          </w:p>
        </w:tc>
        <w:tc>
          <w:tcPr>
            <w:tcW w:w="4933"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企业上年度产品合格率</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明显低于行业平均水平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略低于行业平均水平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与行业平均水平相当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略高于行业平均水平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明显高于行业平均水平</w:t>
            </w:r>
          </w:p>
          <w:p>
            <w:pPr>
              <w:adjustRightInd/>
              <w:spacing w:line="240" w:lineRule="atLeast"/>
              <w:ind w:firstLine="0" w:firstLineChars="0"/>
              <w:contextualSpacing/>
              <w:rPr>
                <w:rFonts w:ascii="仿宋_GB2312" w:cs="仿宋_GB2312"/>
                <w:sz w:val="24"/>
                <w:szCs w:val="20"/>
              </w:rPr>
            </w:pPr>
          </w:p>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具体数值为[      ]</w:t>
            </w:r>
          </w:p>
        </w:tc>
        <w:tc>
          <w:tcPr>
            <w:tcW w:w="791"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Borders>
              <w:top w:val="single" w:color="auto" w:sz="4" w:space="0"/>
              <w:left w:val="single" w:color="auto" w:sz="4" w:space="0"/>
              <w:bottom w:val="single" w:color="auto" w:sz="4" w:space="0"/>
              <w:right w:val="single" w:color="auto" w:sz="4" w:space="0"/>
            </w:tcBorders>
            <w:noWrap/>
            <w:vAlign w:val="center"/>
          </w:tcPr>
          <w:p>
            <w:pPr>
              <w:adjustRightInd/>
              <w:snapToGrid/>
              <w:spacing w:line="240" w:lineRule="auto"/>
              <w:ind w:firstLine="0" w:firstLineChars="0"/>
              <w:rPr>
                <w:rFonts w:eastAsia="宋体"/>
                <w:sz w:val="21"/>
                <w:szCs w:val="20"/>
              </w:rPr>
            </w:pPr>
          </w:p>
        </w:tc>
        <w:tc>
          <w:tcPr>
            <w:tcW w:w="1135"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生产</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效率</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（40%）</w:t>
            </w:r>
          </w:p>
        </w:tc>
        <w:tc>
          <w:tcPr>
            <w:tcW w:w="1055" w:type="dxa"/>
            <w:tcBorders>
              <w:top w:val="nil"/>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23</w:t>
            </w:r>
          </w:p>
        </w:tc>
        <w:tc>
          <w:tcPr>
            <w:tcW w:w="4933"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企业上年度人均营业收入</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明显低于行业平均水平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略低于行业平均水平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与行业平均水平相当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略高于行业平均水平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明显高于行业平均水平</w:t>
            </w:r>
          </w:p>
          <w:p>
            <w:pPr>
              <w:adjustRightInd/>
              <w:spacing w:line="240" w:lineRule="atLeast"/>
              <w:ind w:firstLine="0" w:firstLineChars="0"/>
              <w:contextualSpacing/>
              <w:rPr>
                <w:rFonts w:ascii="仿宋_GB2312" w:cs="仿宋_GB2312"/>
                <w:sz w:val="24"/>
                <w:szCs w:val="20"/>
              </w:rPr>
            </w:pPr>
          </w:p>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具体数值为[      ]</w:t>
            </w:r>
          </w:p>
        </w:tc>
        <w:tc>
          <w:tcPr>
            <w:tcW w:w="791"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单</w:t>
            </w:r>
            <w:r>
              <w:rPr>
                <w:rFonts w:ascii="仿宋_GB2312" w:cs="仿宋_GB2312"/>
                <w:sz w:val="24"/>
                <w:szCs w:val="20"/>
              </w:rPr>
              <w:t>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tcBorders>
              <w:top w:val="single" w:color="auto" w:sz="4" w:space="0"/>
              <w:left w:val="single" w:color="auto" w:sz="4" w:space="0"/>
              <w:bottom w:val="single" w:color="auto" w:sz="4" w:space="0"/>
              <w:right w:val="single" w:color="auto" w:sz="4" w:space="0"/>
            </w:tcBorders>
            <w:noWrap/>
            <w:vAlign w:val="center"/>
          </w:tcPr>
          <w:p>
            <w:pPr>
              <w:adjustRightInd/>
              <w:snapToGrid/>
              <w:spacing w:line="240" w:lineRule="auto"/>
              <w:ind w:firstLine="0" w:firstLineChars="0"/>
              <w:rPr>
                <w:rFonts w:eastAsia="宋体"/>
                <w:sz w:val="21"/>
                <w:szCs w:val="20"/>
              </w:rPr>
            </w:pPr>
          </w:p>
        </w:tc>
        <w:tc>
          <w:tcPr>
            <w:tcW w:w="1135"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价值</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效益</w:t>
            </w:r>
          </w:p>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（30%）</w:t>
            </w:r>
          </w:p>
        </w:tc>
        <w:tc>
          <w:tcPr>
            <w:tcW w:w="1055" w:type="dxa"/>
            <w:tcBorders>
              <w:top w:val="nil"/>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jc w:val="center"/>
              <w:rPr>
                <w:rFonts w:ascii="仿宋_GB2312" w:cs="仿宋_GB2312"/>
                <w:sz w:val="24"/>
                <w:szCs w:val="20"/>
              </w:rPr>
            </w:pPr>
            <w:r>
              <w:rPr>
                <w:rFonts w:ascii="仿宋_GB2312" w:cs="仿宋_GB2312"/>
                <w:sz w:val="24"/>
                <w:szCs w:val="20"/>
              </w:rPr>
              <w:t>24</w:t>
            </w:r>
          </w:p>
        </w:tc>
        <w:tc>
          <w:tcPr>
            <w:tcW w:w="4933"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企业上年度每百元营业收入中的成本</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明显低于行业平均水平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略低于行业平均水平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与行业平均水平相当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 xml:space="preserve">略高于行业平均水平 </w:t>
            </w:r>
          </w:p>
          <w:p>
            <w:pPr>
              <w:adjustRightInd/>
              <w:spacing w:line="240" w:lineRule="atLeast"/>
              <w:ind w:firstLine="0" w:firstLineChars="0"/>
              <w:contextualSpacing/>
              <w:rPr>
                <w:rFonts w:ascii="仿宋_GB2312" w:cs="仿宋_GB2312"/>
                <w:sz w:val="24"/>
                <w:szCs w:val="20"/>
              </w:rPr>
            </w:pPr>
            <w:r>
              <w:rPr>
                <w:rFonts w:hint="eastAsia" w:ascii="仿宋_GB2312" w:cs="仿宋_GB2312"/>
                <w:sz w:val="24"/>
                <w:szCs w:val="20"/>
              </w:rPr>
              <w:t>□</w:t>
            </w:r>
            <w:r>
              <w:rPr>
                <w:rFonts w:ascii="仿宋_GB2312" w:cs="仿宋_GB2312"/>
                <w:sz w:val="24"/>
                <w:szCs w:val="20"/>
              </w:rPr>
              <w:t>明显高于行业平均水平</w:t>
            </w:r>
          </w:p>
          <w:p>
            <w:pPr>
              <w:adjustRightInd/>
              <w:spacing w:line="240" w:lineRule="atLeast"/>
              <w:ind w:firstLine="0" w:firstLineChars="0"/>
              <w:contextualSpacing/>
              <w:rPr>
                <w:rFonts w:ascii="仿宋_GB2312" w:cs="仿宋_GB2312"/>
                <w:sz w:val="24"/>
                <w:szCs w:val="20"/>
              </w:rPr>
            </w:pPr>
          </w:p>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具体数值为[      ]</w:t>
            </w:r>
          </w:p>
        </w:tc>
        <w:tc>
          <w:tcPr>
            <w:tcW w:w="791" w:type="dxa"/>
            <w:tcBorders>
              <w:top w:val="single" w:color="auto" w:sz="4" w:space="0"/>
              <w:left w:val="single" w:color="auto" w:sz="4" w:space="0"/>
              <w:bottom w:val="single" w:color="auto" w:sz="4" w:space="0"/>
              <w:right w:val="single" w:color="auto" w:sz="4" w:space="0"/>
            </w:tcBorders>
            <w:noWrap/>
            <w:vAlign w:val="center"/>
          </w:tcPr>
          <w:p>
            <w:pPr>
              <w:adjustRightInd/>
              <w:spacing w:line="240" w:lineRule="atLeast"/>
              <w:ind w:firstLine="0" w:firstLineChars="0"/>
              <w:contextualSpacing/>
              <w:rPr>
                <w:rFonts w:ascii="仿宋_GB2312" w:cs="仿宋_GB2312"/>
                <w:sz w:val="24"/>
                <w:szCs w:val="20"/>
              </w:rPr>
            </w:pPr>
            <w:r>
              <w:rPr>
                <w:rFonts w:ascii="仿宋_GB2312" w:cs="仿宋_GB2312"/>
                <w:sz w:val="24"/>
                <w:szCs w:val="20"/>
              </w:rPr>
              <w:t>单选</w:t>
            </w:r>
          </w:p>
        </w:tc>
      </w:tr>
    </w:tbl>
    <w:p>
      <w:pPr>
        <w:adjustRightInd/>
        <w:snapToGrid/>
        <w:spacing w:line="580" w:lineRule="exact"/>
        <w:ind w:firstLine="640"/>
        <w:rPr>
          <w:rFonts w:ascii="仿宋_GB2312" w:cs="黑体"/>
        </w:rPr>
      </w:pPr>
    </w:p>
    <w:p>
      <w:pPr>
        <w:adjustRightInd/>
        <w:snapToGrid/>
        <w:ind w:firstLine="560"/>
        <w:rPr>
          <w:rFonts w:ascii="仿宋_GB2312" w:cs="黑体"/>
          <w:sz w:val="28"/>
          <w:szCs w:val="28"/>
        </w:rPr>
      </w:pPr>
      <w:r>
        <w:rPr>
          <w:rFonts w:hint="eastAsia" w:ascii="仿宋_GB2312" w:cs="黑体"/>
          <w:sz w:val="28"/>
          <w:szCs w:val="28"/>
        </w:rPr>
        <w:t>中小企业数字化水平评测</w:t>
      </w:r>
      <w:r>
        <w:rPr>
          <w:rFonts w:ascii="仿宋_GB2312" w:cs="黑体"/>
          <w:sz w:val="28"/>
          <w:szCs w:val="28"/>
        </w:rPr>
        <w:t>指标</w:t>
      </w:r>
      <w:r>
        <w:rPr>
          <w:rFonts w:hint="eastAsia" w:ascii="仿宋_GB2312" w:cs="黑体"/>
          <w:sz w:val="28"/>
          <w:szCs w:val="28"/>
        </w:rPr>
        <w:t>根据工信部发布的《中小企业数字化水平评测指标（2022年版）》（工信厅企业〔2022〕32号）</w:t>
      </w:r>
      <w:r>
        <w:rPr>
          <w:rFonts w:ascii="仿宋_GB2312" w:cs="黑体"/>
          <w:sz w:val="28"/>
          <w:szCs w:val="28"/>
        </w:rPr>
        <w:t>确定</w:t>
      </w:r>
      <w:r>
        <w:rPr>
          <w:rFonts w:hint="eastAsia" w:ascii="仿宋_GB2312" w:cs="黑体"/>
          <w:sz w:val="28"/>
          <w:szCs w:val="28"/>
        </w:rPr>
        <w:t>，重点从数字基础、经营、管理和成效四个维度综合评估中小企业数字化水平，依据企业评测得分，形成数字化水平的不同等级（共从低到高四个等级）。</w:t>
      </w:r>
    </w:p>
    <w:p>
      <w:pPr>
        <w:adjustRightInd/>
        <w:snapToGrid/>
        <w:ind w:firstLine="560"/>
        <w:rPr>
          <w:rFonts w:ascii="仿宋_GB2312" w:cs="黑体"/>
          <w:sz w:val="28"/>
          <w:szCs w:val="28"/>
        </w:rPr>
      </w:pPr>
      <w:r>
        <w:rPr>
          <w:rFonts w:ascii="仿宋_GB2312" w:cs="黑体"/>
          <w:sz w:val="28"/>
          <w:szCs w:val="28"/>
        </w:rPr>
        <w:t>一级（20-40分）：开展了基础业务流程梳理和数据规范化管理，并进行了信息技术简单应用。</w:t>
      </w:r>
    </w:p>
    <w:p>
      <w:pPr>
        <w:adjustRightInd/>
        <w:snapToGrid/>
        <w:ind w:firstLine="560"/>
        <w:rPr>
          <w:rFonts w:ascii="仿宋_GB2312" w:cs="黑体"/>
          <w:sz w:val="28"/>
          <w:szCs w:val="28"/>
        </w:rPr>
      </w:pPr>
      <w:r>
        <w:rPr>
          <w:rFonts w:ascii="仿宋_GB2312" w:cs="黑体"/>
          <w:sz w:val="28"/>
          <w:szCs w:val="28"/>
        </w:rPr>
        <w:t>二级（40-60分）：利用信息技术手段或管理工具实现了单一业务数字化管理。</w:t>
      </w:r>
    </w:p>
    <w:p>
      <w:pPr>
        <w:adjustRightInd/>
        <w:snapToGrid/>
        <w:ind w:firstLine="560"/>
        <w:rPr>
          <w:rFonts w:ascii="仿宋_GB2312" w:cs="黑体"/>
          <w:sz w:val="28"/>
          <w:szCs w:val="28"/>
        </w:rPr>
      </w:pPr>
      <w:r>
        <w:rPr>
          <w:rFonts w:ascii="仿宋_GB2312" w:cs="黑体"/>
          <w:sz w:val="28"/>
          <w:szCs w:val="28"/>
        </w:rPr>
        <w:t>三级（60-80分）：应用信息系统及数字化技术进行数据分析，实现全部主营业务数字化管控。</w:t>
      </w:r>
    </w:p>
    <w:p>
      <w:pPr>
        <w:adjustRightInd/>
        <w:snapToGrid/>
        <w:ind w:firstLine="560"/>
        <w:rPr>
          <w:rFonts w:ascii="仿宋_GB2312" w:cs="黑体"/>
          <w:sz w:val="28"/>
          <w:szCs w:val="28"/>
        </w:rPr>
      </w:pPr>
      <w:r>
        <w:rPr>
          <w:rFonts w:ascii="仿宋_GB2312" w:cs="黑体"/>
          <w:sz w:val="28"/>
          <w:szCs w:val="28"/>
        </w:rPr>
        <w:t>四级（80分以上）：利用全业务链数据集成分析，实现数据驱动的业务协同与智能决策。</w:t>
      </w:r>
    </w:p>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备注：中小企业数字化水平评测（2022版）可免费在线自评。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1.自评网址：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http://caii-sme.indusforce.com/#/Selftest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2.网站使用方法网址：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https://mp.weixin.qq.com/s/GDdbMrVwL7P7E03d6DE5JQ</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3.中小企业数字化水平评测答疑联系人：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胡祖同  13957149078</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范  耿  19550238055</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刘睿桢  18312967900</w:t>
      </w:r>
      <w:bookmarkStart w:id="1" w:name="_GoBack"/>
      <w:bookmarkEnd w:id="1"/>
    </w:p>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lZTU2YmU4MzEwZTJjOGI1OTE1OGRmY2QxNmFiNDgifQ=="/>
  </w:docVars>
  <w:rsids>
    <w:rsidRoot w:val="4940727B"/>
    <w:rsid w:val="2E917373"/>
    <w:rsid w:val="3A22476C"/>
    <w:rsid w:val="4940727B"/>
    <w:rsid w:val="51A92185"/>
    <w:rsid w:val="57CA329F"/>
    <w:rsid w:val="79CD62E2"/>
    <w:rsid w:val="7E565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adjustRightInd w:val="0"/>
      <w:snapToGrid w:val="0"/>
      <w:spacing w:beforeLines="0" w:beforeAutospacing="0" w:afterLines="0" w:afterAutospacing="0" w:line="560" w:lineRule="exact"/>
      <w:ind w:firstLine="880" w:firstLineChars="200"/>
      <w:outlineLvl w:val="0"/>
    </w:pPr>
    <w:rPr>
      <w:rFonts w:ascii="Times New Roman" w:hAnsi="Times New Roman" w:eastAsia="黑体"/>
      <w:kern w:val="44"/>
      <w:sz w:val="32"/>
      <w:szCs w:val="32"/>
    </w:rPr>
  </w:style>
  <w:style w:type="paragraph" w:styleId="5">
    <w:name w:val="heading 2"/>
    <w:basedOn w:val="1"/>
    <w:next w:val="1"/>
    <w:semiHidden/>
    <w:unhideWhenUsed/>
    <w:qFormat/>
    <w:uiPriority w:val="0"/>
    <w:pPr>
      <w:keepNext/>
      <w:keepLines/>
      <w:spacing w:beforeLines="0" w:beforeAutospacing="0" w:afterLines="0" w:afterAutospacing="0" w:line="560" w:lineRule="exact"/>
      <w:ind w:firstLine="880" w:firstLineChars="200"/>
      <w:outlineLvl w:val="1"/>
    </w:pPr>
    <w:rPr>
      <w:rFonts w:ascii="Times New Roman" w:hAnsi="Times New Roman" w:eastAsia="楷体_GB2312"/>
      <w:sz w:val="32"/>
      <w:szCs w:val="32"/>
    </w:rPr>
  </w:style>
  <w:style w:type="paragraph" w:styleId="6">
    <w:name w:val="heading 3"/>
    <w:basedOn w:val="1"/>
    <w:next w:val="1"/>
    <w:semiHidden/>
    <w:unhideWhenUsed/>
    <w:qFormat/>
    <w:uiPriority w:val="0"/>
    <w:pPr>
      <w:keepNext/>
      <w:keepLines/>
      <w:adjustRightInd w:val="0"/>
      <w:snapToGrid w:val="0"/>
      <w:spacing w:beforeLines="0" w:beforeAutospacing="0" w:afterLines="0" w:afterAutospacing="0" w:line="560" w:lineRule="exact"/>
      <w:ind w:firstLine="880" w:firstLineChars="200"/>
      <w:outlineLvl w:val="2"/>
    </w:pPr>
    <w:rPr>
      <w:rFonts w:ascii="Times New Roman" w:hAnsi="Times New Roman" w:eastAsia="仿宋_GB2312"/>
      <w:sz w:val="32"/>
      <w:szCs w:val="32"/>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w:basedOn w:val="1"/>
    <w:next w:val="3"/>
    <w:autoRedefine/>
    <w:unhideWhenUsed/>
    <w:qFormat/>
    <w:uiPriority w:val="99"/>
    <w:pPr>
      <w:spacing w:after="120"/>
    </w:pPr>
    <w:rPr>
      <w:rFonts w:ascii="等线" w:hAnsi="等线" w:eastAsia="等线" w:cs="Times New Roman"/>
    </w:rPr>
  </w:style>
  <w:style w:type="paragraph" w:styleId="3">
    <w:name w:val="Body Text First Indent"/>
    <w:basedOn w:val="2"/>
    <w:unhideWhenUsed/>
    <w:qFormat/>
    <w:uiPriority w:val="99"/>
    <w:pPr>
      <w:spacing w:after="120" w:line="240" w:lineRule="auto"/>
      <w:ind w:firstLine="420" w:firstLineChars="100"/>
    </w:pPr>
    <w:rPr>
      <w:szCs w:val="24"/>
    </w:rPr>
  </w:style>
  <w:style w:type="paragraph" w:styleId="7">
    <w:name w:val="Normal Indent"/>
    <w:basedOn w:val="1"/>
    <w:next w:val="1"/>
    <w:qFormat/>
    <w:uiPriority w:val="0"/>
    <w:pPr>
      <w:ind w:firstLine="420" w:firstLineChars="200"/>
    </w:pPr>
    <w:rPr>
      <w:rFonts w:ascii="Times New Roman" w:hAnsi="Times New Roman" w:eastAsia="宋体" w:cs="Times New Roman"/>
    </w:rPr>
  </w:style>
  <w:style w:type="paragraph" w:styleId="8">
    <w:name w:val="Body Text Indent"/>
    <w:basedOn w:val="1"/>
    <w:next w:val="7"/>
    <w:unhideWhenUsed/>
    <w:qFormat/>
    <w:uiPriority w:val="99"/>
    <w:pPr>
      <w:spacing w:after="120"/>
      <w:ind w:left="420" w:leftChars="200"/>
    </w:pPr>
  </w:style>
  <w:style w:type="paragraph" w:styleId="9">
    <w:name w:val="Body Text First Indent 2"/>
    <w:basedOn w:val="8"/>
    <w:next w:val="1"/>
    <w:autoRedefine/>
    <w:unhideWhenUsed/>
    <w:qFormat/>
    <w:uiPriority w:val="99"/>
    <w:pPr>
      <w:ind w:firstLine="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2024-01-30T08:08:00Z</dcterms:created>
  <dc:creator>YchunqiuY</dc:creator>
  <cp:lastModifiedBy>YchunqiuY</cp:lastModifiedBy>
  <dcterms:modified xsi:type="dcterms:W3CDTF">2024-02-02T07:47:42Z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0540D8E3065144D796773C624622C279_11</vt:lpwstr>
  </property>
</Properties>
</file>